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9BDC" w14:textId="77777777" w:rsidR="00743500" w:rsidRDefault="00743500" w:rsidP="00743500">
      <w:pPr>
        <w:pBdr>
          <w:top w:val="threeDEngrave" w:sz="24" w:space="1" w:color="BFBFBF" w:themeColor="background1" w:themeShade="BF"/>
          <w:left w:val="threeDEngrave" w:sz="24" w:space="4" w:color="BFBFBF" w:themeColor="background1" w:themeShade="BF"/>
          <w:bottom w:val="threeDEmboss" w:sz="24" w:space="1" w:color="BFBFBF" w:themeColor="background1" w:themeShade="BF"/>
          <w:right w:val="threeDEmboss" w:sz="24" w:space="4" w:color="BFBFBF" w:themeColor="background1" w:themeShade="BF"/>
        </w:pBdr>
        <w:jc w:val="center"/>
        <w:rPr>
          <w:b/>
          <w:bCs/>
          <w:color w:val="5F819F"/>
          <w:sz w:val="28"/>
          <w:szCs w:val="28"/>
          <w:lang w:val="es-ES"/>
        </w:rPr>
      </w:pPr>
      <w:r>
        <w:rPr>
          <w:b/>
          <w:bCs/>
          <w:color w:val="5F819F"/>
          <w:sz w:val="28"/>
          <w:szCs w:val="28"/>
          <w:lang w:val="es-ES"/>
        </w:rPr>
        <w:t xml:space="preserve">PROTOCOLO DE ACTUACIÓN EN CASO DE ACCIDENTES </w:t>
      </w:r>
    </w:p>
    <w:p w14:paraId="53AE15E6" w14:textId="1BA12492" w:rsidR="00743500" w:rsidRDefault="00FD3CEC" w:rsidP="00743500">
      <w:pPr>
        <w:pBdr>
          <w:top w:val="threeDEngrave" w:sz="24" w:space="1" w:color="BFBFBF" w:themeColor="background1" w:themeShade="BF"/>
          <w:left w:val="threeDEngrave" w:sz="24" w:space="4" w:color="BFBFBF" w:themeColor="background1" w:themeShade="BF"/>
          <w:bottom w:val="threeDEmboss" w:sz="24" w:space="1" w:color="BFBFBF" w:themeColor="background1" w:themeShade="BF"/>
          <w:right w:val="threeDEmboss" w:sz="24" w:space="4" w:color="BFBFBF" w:themeColor="background1" w:themeShade="BF"/>
        </w:pBdr>
        <w:jc w:val="center"/>
        <w:rPr>
          <w:b/>
          <w:bCs/>
          <w:color w:val="5F819F"/>
          <w:sz w:val="28"/>
          <w:szCs w:val="28"/>
          <w:lang w:val="es-ES"/>
        </w:rPr>
      </w:pPr>
      <w:r>
        <w:rPr>
          <w:b/>
          <w:bCs/>
          <w:color w:val="5F819F"/>
          <w:sz w:val="28"/>
          <w:szCs w:val="28"/>
          <w:lang w:val="es-ES"/>
        </w:rPr>
        <w:t xml:space="preserve">AON </w:t>
      </w:r>
      <w:r w:rsidR="00621114">
        <w:rPr>
          <w:b/>
          <w:bCs/>
          <w:color w:val="5F819F"/>
          <w:sz w:val="28"/>
          <w:szCs w:val="28"/>
          <w:lang w:val="es-ES"/>
        </w:rPr>
        <w:t>–</w:t>
      </w:r>
      <w:r>
        <w:rPr>
          <w:b/>
          <w:bCs/>
          <w:color w:val="5F819F"/>
          <w:sz w:val="28"/>
          <w:szCs w:val="28"/>
          <w:lang w:val="es-ES"/>
        </w:rPr>
        <w:t xml:space="preserve"> ALLIANZ</w:t>
      </w:r>
    </w:p>
    <w:p w14:paraId="6C928A53" w14:textId="0896BCA0" w:rsidR="00621114" w:rsidRPr="00C26713" w:rsidRDefault="0001599D" w:rsidP="00743500">
      <w:pPr>
        <w:pBdr>
          <w:top w:val="threeDEngrave" w:sz="24" w:space="1" w:color="BFBFBF" w:themeColor="background1" w:themeShade="BF"/>
          <w:left w:val="threeDEngrave" w:sz="24" w:space="4" w:color="BFBFBF" w:themeColor="background1" w:themeShade="BF"/>
          <w:bottom w:val="threeDEmboss" w:sz="24" w:space="1" w:color="BFBFBF" w:themeColor="background1" w:themeShade="BF"/>
          <w:right w:val="threeDEmboss" w:sz="24" w:space="4" w:color="BFBFBF" w:themeColor="background1" w:themeShade="BF"/>
        </w:pBdr>
        <w:jc w:val="center"/>
        <w:rPr>
          <w:b/>
          <w:sz w:val="28"/>
          <w:szCs w:val="28"/>
        </w:rPr>
      </w:pPr>
      <w:r>
        <w:rPr>
          <w:b/>
          <w:bCs/>
          <w:color w:val="5F819F"/>
          <w:sz w:val="28"/>
          <w:szCs w:val="28"/>
          <w:lang w:val="es-ES"/>
        </w:rPr>
        <w:t>FEDERACIÓN DE</w:t>
      </w:r>
      <w:r w:rsidR="00AD0936">
        <w:rPr>
          <w:b/>
          <w:bCs/>
          <w:color w:val="5F819F"/>
          <w:sz w:val="28"/>
          <w:szCs w:val="28"/>
          <w:lang w:val="es-ES"/>
        </w:rPr>
        <w:t xml:space="preserve"> </w:t>
      </w:r>
      <w:r w:rsidR="00B53FE7">
        <w:rPr>
          <w:b/>
          <w:bCs/>
          <w:color w:val="5F819F"/>
          <w:sz w:val="28"/>
          <w:szCs w:val="28"/>
          <w:lang w:val="es-ES"/>
        </w:rPr>
        <w:t xml:space="preserve">VOLEIBOL </w:t>
      </w:r>
      <w:r w:rsidR="00AD0936">
        <w:rPr>
          <w:b/>
          <w:bCs/>
          <w:color w:val="5F819F"/>
          <w:sz w:val="28"/>
          <w:szCs w:val="28"/>
          <w:lang w:val="es-ES"/>
        </w:rPr>
        <w:t xml:space="preserve"> DE </w:t>
      </w:r>
      <w:r w:rsidR="00B53FE7">
        <w:rPr>
          <w:b/>
          <w:bCs/>
          <w:color w:val="5F819F"/>
          <w:sz w:val="28"/>
          <w:szCs w:val="28"/>
          <w:lang w:val="es-ES"/>
        </w:rPr>
        <w:t>EXTREMADURA</w:t>
      </w:r>
    </w:p>
    <w:p w14:paraId="588AE8BA" w14:textId="6766B59E" w:rsidR="00743500" w:rsidRDefault="00743500" w:rsidP="00743500">
      <w:pPr>
        <w:pBdr>
          <w:bottom w:val="single" w:sz="4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6A5267DB" w14:textId="77777777" w:rsidR="00C55189" w:rsidRDefault="00C55189" w:rsidP="00743500">
      <w:pPr>
        <w:pBdr>
          <w:bottom w:val="single" w:sz="4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</w:p>
    <w:p w14:paraId="640F0F0B" w14:textId="77777777" w:rsidR="00743500" w:rsidRPr="00D95BA4" w:rsidRDefault="00743500" w:rsidP="00743500">
      <w:pPr>
        <w:pBdr>
          <w:bottom w:val="single" w:sz="4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OBJETO DEL SEGURO</w:t>
      </w:r>
    </w:p>
    <w:p w14:paraId="30C11348" w14:textId="34D4CD41" w:rsidR="00A44A5E" w:rsidRPr="00A44A5E" w:rsidRDefault="00A44A5E" w:rsidP="00A44A5E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  <w:lang w:val="es-ES_tradnl"/>
        </w:rPr>
      </w:pPr>
      <w:r w:rsidRPr="00A44A5E">
        <w:rPr>
          <w:rFonts w:ascii="Arial" w:eastAsia="Calibri" w:hAnsi="Arial" w:cs="Arial"/>
          <w:bCs/>
          <w:sz w:val="20"/>
          <w:szCs w:val="20"/>
        </w:rPr>
        <w:t>Cubrir las lesiones coprorales accidentales sufridos por los asegurados con motivo de la pr</w:t>
      </w:r>
      <w:r w:rsidR="00E3707B">
        <w:rPr>
          <w:rFonts w:ascii="Arial" w:eastAsia="Calibri" w:hAnsi="Arial" w:cs="Arial"/>
          <w:bCs/>
          <w:sz w:val="20"/>
          <w:szCs w:val="20"/>
        </w:rPr>
        <w:t>á</w:t>
      </w:r>
      <w:r w:rsidRPr="00A44A5E">
        <w:rPr>
          <w:rFonts w:ascii="Arial" w:eastAsia="Calibri" w:hAnsi="Arial" w:cs="Arial"/>
          <w:bCs/>
          <w:sz w:val="20"/>
          <w:szCs w:val="20"/>
        </w:rPr>
        <w:t>ctica deportiva, en los t</w:t>
      </w:r>
      <w:r w:rsidR="00E3707B">
        <w:rPr>
          <w:rFonts w:ascii="Arial" w:eastAsia="Calibri" w:hAnsi="Arial" w:cs="Arial"/>
          <w:bCs/>
          <w:sz w:val="20"/>
          <w:szCs w:val="20"/>
        </w:rPr>
        <w:t>é</w:t>
      </w:r>
      <w:r w:rsidRPr="00A44A5E">
        <w:rPr>
          <w:rFonts w:ascii="Arial" w:eastAsia="Calibri" w:hAnsi="Arial" w:cs="Arial"/>
          <w:bCs/>
          <w:sz w:val="20"/>
          <w:szCs w:val="20"/>
        </w:rPr>
        <w:t>rminos previstos por el R.D 849/1993, de 4 junio</w:t>
      </w:r>
      <w:r w:rsidRPr="00A44A5E">
        <w:rPr>
          <w:rFonts w:ascii="Arial" w:eastAsia="Calibri" w:hAnsi="Arial" w:cs="Arial"/>
          <w:bCs/>
          <w:sz w:val="20"/>
          <w:szCs w:val="20"/>
          <w:lang w:val="es-ES_tradnl"/>
        </w:rPr>
        <w:t>.</w:t>
      </w:r>
    </w:p>
    <w:p w14:paraId="7A0D756A" w14:textId="77777777" w:rsidR="00A44A5E" w:rsidRPr="00D95BA4" w:rsidRDefault="00A44A5E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15E4F8D" w14:textId="3982FE55" w:rsidR="00743500" w:rsidRDefault="00743500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Las Asistencias Médicas cubiertas por la póliza serán prestadas en centros médicos o por facultativos concertados por la entidad</w:t>
      </w:r>
      <w:r w:rsidR="00C17390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4A1ED1BA" w14:textId="77777777" w:rsidR="00A44A5E" w:rsidRPr="00D95BA4" w:rsidRDefault="00A44A5E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B60B001" w14:textId="77777777" w:rsidR="00743500" w:rsidRPr="00D95BA4" w:rsidRDefault="00743500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Deberán cumplirse en todos los casos los siguientes pasos:</w:t>
      </w:r>
    </w:p>
    <w:p w14:paraId="674CCB43" w14:textId="77777777" w:rsidR="00743500" w:rsidRPr="00D95BA4" w:rsidRDefault="00743500" w:rsidP="0074350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81EAC53" w14:textId="77777777" w:rsidR="00743500" w:rsidRPr="00D95BA4" w:rsidRDefault="00743500" w:rsidP="00743500">
      <w:pPr>
        <w:numPr>
          <w:ilvl w:val="0"/>
          <w:numId w:val="1"/>
        </w:numPr>
        <w:pBdr>
          <w:bottom w:val="single" w:sz="4" w:space="1" w:color="auto"/>
        </w:pBd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COMUNICACIÓN DEL  ACCIDENTE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>:</w:t>
      </w:r>
    </w:p>
    <w:p w14:paraId="1BC59D9C" w14:textId="77777777" w:rsidR="00743500" w:rsidRPr="00D95BA4" w:rsidRDefault="00743500" w:rsidP="00743500">
      <w:pPr>
        <w:spacing w:after="200" w:line="36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27F41D7" w14:textId="1E1CA197" w:rsidR="00BB6AA6" w:rsidRPr="00360A44" w:rsidRDefault="00111C6A" w:rsidP="00743500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111C6A">
        <w:rPr>
          <w:rFonts w:ascii="Arial" w:eastAsia="Calibri" w:hAnsi="Arial" w:cs="Arial"/>
          <w:sz w:val="20"/>
          <w:szCs w:val="20"/>
          <w:lang w:val="es-ES"/>
        </w:rPr>
        <w:t>Allianz, Compañía de Seguros y Reaseguros, S.A.</w:t>
      </w:r>
      <w:r w:rsidR="00E94878" w:rsidRPr="00360A44">
        <w:rPr>
          <w:rFonts w:ascii="Arial" w:eastAsia="Calibri" w:hAnsi="Arial" w:cs="Arial"/>
          <w:sz w:val="20"/>
          <w:szCs w:val="20"/>
          <w:lang w:val="es-ES"/>
        </w:rPr>
        <w:t xml:space="preserve">es </w:t>
      </w:r>
      <w:r w:rsidR="008517D6" w:rsidRPr="00360A44">
        <w:rPr>
          <w:rFonts w:ascii="Arial" w:eastAsia="Calibri" w:hAnsi="Arial" w:cs="Arial"/>
          <w:sz w:val="20"/>
          <w:szCs w:val="20"/>
          <w:lang w:val="es-ES"/>
        </w:rPr>
        <w:t>la entidad con la se encuentra contratado el seguro.</w:t>
      </w:r>
      <w:r w:rsidR="00E94878" w:rsidRPr="00360A44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073C18A8" w14:textId="31A8E70B" w:rsidR="00743500" w:rsidRDefault="008517D6" w:rsidP="00743500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Consecuentemente e</w:t>
      </w:r>
      <w:r w:rsidR="00743500" w:rsidRPr="00D95BA4">
        <w:rPr>
          <w:rFonts w:ascii="Arial" w:eastAsia="Calibri" w:hAnsi="Arial" w:cs="Arial"/>
          <w:sz w:val="20"/>
          <w:szCs w:val="20"/>
          <w:lang w:val="es-ES"/>
        </w:rPr>
        <w:t xml:space="preserve">l accidente deberá ser comunicado en un plazo máximo de 7 días  a </w:t>
      </w:r>
      <w:r w:rsidR="00743500">
        <w:rPr>
          <w:rFonts w:ascii="Arial" w:eastAsia="Calibri" w:hAnsi="Arial" w:cs="Arial"/>
          <w:sz w:val="20"/>
          <w:szCs w:val="20"/>
          <w:lang w:val="es-ES"/>
        </w:rPr>
        <w:t xml:space="preserve">la plataforma de siniestros de </w:t>
      </w:r>
      <w:r w:rsidR="00A62D01">
        <w:rPr>
          <w:rFonts w:ascii="Arial" w:eastAsia="Calibri" w:hAnsi="Arial" w:cs="Arial"/>
          <w:b/>
          <w:sz w:val="20"/>
          <w:szCs w:val="20"/>
          <w:lang w:val="es-ES"/>
        </w:rPr>
        <w:t>Allianz</w:t>
      </w:r>
      <w:r w:rsidR="00663D31">
        <w:rPr>
          <w:rFonts w:ascii="Arial" w:eastAsia="Calibri" w:hAnsi="Arial" w:cs="Arial"/>
          <w:sz w:val="20"/>
          <w:szCs w:val="20"/>
          <w:lang w:val="es-ES"/>
        </w:rPr>
        <w:t xml:space="preserve">: </w:t>
      </w:r>
    </w:p>
    <w:p w14:paraId="0A65AC46" w14:textId="77777777" w:rsidR="00743500" w:rsidRPr="00D95BA4" w:rsidRDefault="00743500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798EB12C" w14:textId="084B8270" w:rsidR="00743500" w:rsidRDefault="00743500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eastAsia="Calibri" w:hAnsi="Arial" w:cs="Arial"/>
          <w:b/>
          <w:color w:val="0070C0"/>
          <w:sz w:val="44"/>
          <w:szCs w:val="44"/>
          <w:lang w:val="es-ES"/>
        </w:rPr>
        <w:t xml:space="preserve">               </w:t>
      </w:r>
      <w:r w:rsidR="00014AAF" w:rsidRPr="00014AAF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9</w:t>
      </w:r>
      <w:r w:rsidR="00A62D01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00</w:t>
      </w:r>
      <w:r w:rsidR="00014AAF" w:rsidRPr="00014AAF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A62D01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404</w:t>
      </w:r>
      <w:r w:rsidR="00014AAF" w:rsidRPr="00014AAF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A62D01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444</w:t>
      </w:r>
    </w:p>
    <w:p w14:paraId="53D7B929" w14:textId="77777777" w:rsidR="00C55189" w:rsidRPr="00D95BA4" w:rsidRDefault="00C55189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b/>
          <w:color w:val="0070C0"/>
          <w:sz w:val="44"/>
          <w:szCs w:val="44"/>
          <w:lang w:val="es-ES"/>
        </w:rPr>
      </w:pPr>
    </w:p>
    <w:p w14:paraId="722FEA94" w14:textId="77777777" w:rsidR="00743500" w:rsidRPr="00D95BA4" w:rsidRDefault="00743500" w:rsidP="00743500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Se procederá a la apertura del expediente correspondiente donde se le solicitará al federado:</w:t>
      </w:r>
    </w:p>
    <w:p w14:paraId="33472AE0" w14:textId="49958C26" w:rsidR="00743500" w:rsidRPr="00D95BA4" w:rsidRDefault="00743500" w:rsidP="00743500">
      <w:pPr>
        <w:numPr>
          <w:ilvl w:val="2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Identificación (ficha federativa) y comprobación de cobertura.</w:t>
      </w:r>
    </w:p>
    <w:p w14:paraId="4C4497A2" w14:textId="77777777" w:rsidR="00743500" w:rsidRPr="00D95BA4" w:rsidRDefault="00743500" w:rsidP="00743500">
      <w:pPr>
        <w:numPr>
          <w:ilvl w:val="2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Explicación del accidente</w:t>
      </w:r>
    </w:p>
    <w:p w14:paraId="7B876F32" w14:textId="44D2B90E" w:rsidR="00743500" w:rsidRPr="00621114" w:rsidRDefault="00A62D01" w:rsidP="00621114">
      <w:pPr>
        <w:numPr>
          <w:ilvl w:val="2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P</w:t>
      </w:r>
      <w:r w:rsidR="00743500" w:rsidRPr="00D95BA4">
        <w:rPr>
          <w:rFonts w:ascii="Arial" w:eastAsia="Calibri" w:hAnsi="Arial" w:cs="Arial"/>
          <w:sz w:val="20"/>
          <w:szCs w:val="20"/>
          <w:lang w:val="es-ES"/>
        </w:rPr>
        <w:t>arte de accidentes</w:t>
      </w:r>
      <w:r>
        <w:rPr>
          <w:rFonts w:ascii="Arial" w:eastAsia="Calibri" w:hAnsi="Arial" w:cs="Arial"/>
          <w:sz w:val="20"/>
          <w:szCs w:val="20"/>
          <w:lang w:val="es-ES"/>
        </w:rPr>
        <w:t xml:space="preserve"> firmado/sellado por la Federación.</w:t>
      </w:r>
    </w:p>
    <w:p w14:paraId="0ACDCFA2" w14:textId="08BC4652" w:rsidR="007A41E5" w:rsidRPr="00032E49" w:rsidRDefault="00F65A72" w:rsidP="00A44A5E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032E49">
        <w:rPr>
          <w:rFonts w:ascii="Arial" w:eastAsia="Calibri" w:hAnsi="Arial" w:cs="Arial"/>
          <w:sz w:val="20"/>
          <w:szCs w:val="20"/>
          <w:lang w:val="es-ES"/>
        </w:rPr>
        <w:t xml:space="preserve">La aseguradora facilitará en ese momento el número de expediente asignado, </w:t>
      </w:r>
      <w:r w:rsidR="009E552B" w:rsidRPr="00032E49">
        <w:rPr>
          <w:rFonts w:ascii="Arial" w:eastAsia="Calibri" w:hAnsi="Arial" w:cs="Arial"/>
          <w:sz w:val="20"/>
          <w:szCs w:val="20"/>
          <w:lang w:val="es-ES"/>
        </w:rPr>
        <w:t>que deberán anotar</w:t>
      </w:r>
      <w:r w:rsidR="008E765E">
        <w:rPr>
          <w:rFonts w:ascii="Arial" w:eastAsia="Calibri" w:hAnsi="Arial" w:cs="Arial"/>
          <w:sz w:val="20"/>
          <w:szCs w:val="20"/>
          <w:lang w:val="es-ES"/>
        </w:rPr>
        <w:t xml:space="preserve"> puesto que </w:t>
      </w:r>
      <w:r w:rsidR="009E552B" w:rsidRPr="00032E49">
        <w:rPr>
          <w:rFonts w:ascii="Arial" w:eastAsia="Calibri" w:hAnsi="Arial" w:cs="Arial"/>
          <w:sz w:val="20"/>
          <w:szCs w:val="20"/>
          <w:lang w:val="es-ES"/>
        </w:rPr>
        <w:t>servirá como referencia para cualquier gestión posterior.</w:t>
      </w:r>
    </w:p>
    <w:p w14:paraId="15C1D9C3" w14:textId="242A6E15" w:rsidR="00743500" w:rsidRDefault="00743500" w:rsidP="00A44A5E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A44A5E">
        <w:rPr>
          <w:rFonts w:ascii="Arial" w:eastAsia="Calibri" w:hAnsi="Arial" w:cs="Arial"/>
          <w:sz w:val="20"/>
          <w:szCs w:val="20"/>
          <w:lang w:val="es-ES"/>
        </w:rPr>
        <w:t>Tras analizar el expediente por parte de la aseguradora se le dará respuesta al federado y autorización de asistencia si fuera objeto de cobertura.</w:t>
      </w:r>
      <w:r w:rsidR="00FD3CEC" w:rsidRPr="00A44A5E"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4C87894E" w14:textId="7116B0F2" w:rsidR="00743500" w:rsidRDefault="00743500" w:rsidP="00A44A5E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A44A5E">
        <w:rPr>
          <w:rFonts w:ascii="Arial" w:eastAsia="Calibri" w:hAnsi="Arial" w:cs="Arial"/>
          <w:sz w:val="20"/>
          <w:szCs w:val="20"/>
          <w:lang w:val="es-ES"/>
        </w:rPr>
        <w:lastRenderedPageBreak/>
        <w:t xml:space="preserve">Para solicitar seguimiento posterior de tratamiento o pruebas complementarias será el propio Centro Médico quien lo solicite a la </w:t>
      </w:r>
      <w:r w:rsidR="00621114">
        <w:rPr>
          <w:rFonts w:ascii="Arial" w:eastAsia="Calibri" w:hAnsi="Arial" w:cs="Arial"/>
          <w:sz w:val="20"/>
          <w:szCs w:val="20"/>
          <w:lang w:val="es-ES"/>
        </w:rPr>
        <w:t>aseguradora</w:t>
      </w:r>
      <w:r w:rsidRPr="00A44A5E">
        <w:rPr>
          <w:rFonts w:ascii="Arial" w:eastAsia="Calibri" w:hAnsi="Arial" w:cs="Arial"/>
          <w:sz w:val="20"/>
          <w:szCs w:val="20"/>
          <w:lang w:val="es-ES"/>
        </w:rPr>
        <w:t xml:space="preserve"> y se le enviará la autorización al Centro M</w:t>
      </w:r>
      <w:r w:rsidR="003D4F8E">
        <w:rPr>
          <w:rFonts w:ascii="Arial" w:eastAsia="Calibri" w:hAnsi="Arial" w:cs="Arial"/>
          <w:sz w:val="20"/>
          <w:szCs w:val="20"/>
          <w:lang w:val="es-ES"/>
        </w:rPr>
        <w:t>é</w:t>
      </w:r>
      <w:r w:rsidRPr="00A44A5E">
        <w:rPr>
          <w:rFonts w:ascii="Arial" w:eastAsia="Calibri" w:hAnsi="Arial" w:cs="Arial"/>
          <w:sz w:val="20"/>
          <w:szCs w:val="20"/>
          <w:lang w:val="es-ES"/>
        </w:rPr>
        <w:t>dico que lo solicite</w:t>
      </w:r>
      <w:r w:rsidR="003B280A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06AB430A" w14:textId="160A30E9" w:rsidR="00A44A5E" w:rsidRDefault="00A44A5E" w:rsidP="00A44A5E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2C53F2E" w14:textId="551F56E9" w:rsidR="00A62D01" w:rsidRDefault="00A62D01" w:rsidP="00A44A5E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733797F8" w14:textId="77777777" w:rsidR="00743500" w:rsidRPr="00D95BA4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36CDEDEB" w14:textId="77777777" w:rsidR="00743500" w:rsidRPr="002F7F08" w:rsidRDefault="00743500" w:rsidP="002F7F08">
      <w:pPr>
        <w:numPr>
          <w:ilvl w:val="0"/>
          <w:numId w:val="1"/>
        </w:numPr>
        <w:pBdr>
          <w:bottom w:val="single" w:sz="4" w:space="1" w:color="auto"/>
        </w:pBd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2F7F08">
        <w:rPr>
          <w:rFonts w:ascii="Arial" w:eastAsia="Calibri" w:hAnsi="Arial" w:cs="Arial"/>
          <w:b/>
          <w:sz w:val="20"/>
          <w:szCs w:val="20"/>
          <w:lang w:val="es-ES"/>
        </w:rPr>
        <w:t xml:space="preserve">URGENCIAS </w:t>
      </w:r>
    </w:p>
    <w:p w14:paraId="152D2EB5" w14:textId="77777777" w:rsidR="00A44A5E" w:rsidRDefault="00A44A5E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0165A389" w14:textId="34735A7C" w:rsidR="00743500" w:rsidRPr="00D95BA4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Se entiende como tal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la atención sanitaria cuya demora pueda acarrear agravamiento de la lesión, dolor extremo, o necesidad de acudir inmediatamente en el momento posterior al accidente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, siempre y cuando tal asistencia sea </w:t>
      </w:r>
      <w:r w:rsidR="00FB1310">
        <w:rPr>
          <w:rFonts w:ascii="Arial" w:eastAsia="Calibri" w:hAnsi="Arial" w:cs="Arial"/>
          <w:sz w:val="20"/>
          <w:szCs w:val="20"/>
          <w:lang w:val="es-ES"/>
        </w:rPr>
        <w:t>O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>bjeto del Seguro y dentro de las primeras 24 horas desde que se produce el Accidente Deportivo.</w:t>
      </w:r>
    </w:p>
    <w:p w14:paraId="333F60B7" w14:textId="77777777" w:rsidR="00743500" w:rsidRPr="00D95BA4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216E0AD3" w14:textId="77777777" w:rsidR="00743500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En este caso el federado deberá llamar al teléfono de asistencias 24 horas donde le coordinarán la asistencia de urgencia en un centro concertado:</w:t>
      </w:r>
    </w:p>
    <w:p w14:paraId="2F00F140" w14:textId="77777777" w:rsidR="00D576AF" w:rsidRDefault="00D576AF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15A2046E" w14:textId="77777777" w:rsidR="00743500" w:rsidRPr="00D95BA4" w:rsidRDefault="00743500" w:rsidP="00743500">
      <w:pPr>
        <w:spacing w:after="200" w:line="360" w:lineRule="auto"/>
        <w:ind w:left="720"/>
        <w:contextualSpacing/>
        <w:rPr>
          <w:rFonts w:ascii="Arial" w:eastAsia="Calibri" w:hAnsi="Arial" w:cs="Arial"/>
          <w:sz w:val="20"/>
          <w:szCs w:val="20"/>
          <w:lang w:val="es-ES"/>
        </w:rPr>
      </w:pPr>
    </w:p>
    <w:p w14:paraId="2D7098E4" w14:textId="4FC586A6" w:rsidR="005E0382" w:rsidRPr="00621114" w:rsidRDefault="00743500" w:rsidP="00621114">
      <w:pPr>
        <w:spacing w:after="200" w:line="360" w:lineRule="auto"/>
        <w:ind w:left="1440"/>
        <w:contextualSpacing/>
        <w:rPr>
          <w:rFonts w:ascii="Arial" w:eastAsia="Calibri" w:hAnsi="Arial" w:cs="Arial"/>
          <w:b/>
          <w:color w:val="FF0000"/>
          <w:sz w:val="40"/>
          <w:szCs w:val="40"/>
          <w:lang w:val="es-ES"/>
        </w:rPr>
      </w:pPr>
      <w:r w:rsidRPr="00D95BA4">
        <w:rPr>
          <w:rFonts w:ascii="Arial" w:eastAsia="Calibri" w:hAnsi="Arial" w:cs="Arial"/>
          <w:b/>
          <w:color w:val="0070C0"/>
          <w:sz w:val="20"/>
          <w:szCs w:val="20"/>
          <w:lang w:val="es-ES"/>
        </w:rPr>
        <w:t xml:space="preserve">        </w:t>
      </w:r>
      <w:r>
        <w:rPr>
          <w:rFonts w:ascii="Arial" w:eastAsia="Calibri" w:hAnsi="Arial" w:cs="Arial"/>
          <w:b/>
          <w:color w:val="0070C0"/>
          <w:sz w:val="20"/>
          <w:szCs w:val="20"/>
          <w:lang w:val="es-ES"/>
        </w:rPr>
        <w:t xml:space="preserve">      </w:t>
      </w:r>
      <w:r w:rsidRPr="00D95BA4">
        <w:rPr>
          <w:rFonts w:ascii="Arial" w:eastAsia="Calibri" w:hAnsi="Arial" w:cs="Arial"/>
          <w:b/>
          <w:color w:val="0070C0"/>
          <w:sz w:val="20"/>
          <w:szCs w:val="20"/>
          <w:lang w:val="es-ES"/>
        </w:rPr>
        <w:t xml:space="preserve"> </w:t>
      </w:r>
      <w:r w:rsidR="00ED4DAB" w:rsidRPr="005E0382">
        <w:rPr>
          <w:rFonts w:ascii="Arial" w:eastAsia="Calibri" w:hAnsi="Arial" w:cs="Arial"/>
          <w:b/>
          <w:color w:val="FF0000"/>
          <w:sz w:val="40"/>
          <w:szCs w:val="40"/>
          <w:lang w:val="es-ES"/>
        </w:rPr>
        <w:t>900 404 444</w:t>
      </w:r>
      <w:r w:rsidRPr="005E0382">
        <w:rPr>
          <w:rFonts w:ascii="Arial" w:eastAsia="Calibri" w:hAnsi="Arial" w:cs="Arial"/>
          <w:b/>
          <w:color w:val="FF0000"/>
          <w:sz w:val="40"/>
          <w:szCs w:val="40"/>
          <w:lang w:val="es-ES"/>
        </w:rPr>
        <w:t xml:space="preserve"> </w:t>
      </w:r>
    </w:p>
    <w:p w14:paraId="5DAB8F00" w14:textId="76672741" w:rsidR="00743500" w:rsidRDefault="00743500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b/>
          <w:color w:val="0070C0"/>
          <w:sz w:val="20"/>
          <w:szCs w:val="20"/>
          <w:lang w:val="es-ES"/>
        </w:rPr>
      </w:pPr>
    </w:p>
    <w:p w14:paraId="6E59DBA0" w14:textId="77777777" w:rsidR="00C55189" w:rsidRPr="00D95BA4" w:rsidRDefault="00C55189" w:rsidP="00743500">
      <w:pPr>
        <w:spacing w:after="200" w:line="360" w:lineRule="auto"/>
        <w:ind w:left="1440"/>
        <w:contextualSpacing/>
        <w:rPr>
          <w:rFonts w:ascii="Arial" w:eastAsia="Calibri" w:hAnsi="Arial" w:cs="Arial"/>
          <w:b/>
          <w:color w:val="0070C0"/>
          <w:sz w:val="20"/>
          <w:szCs w:val="20"/>
          <w:lang w:val="es-ES"/>
        </w:rPr>
      </w:pPr>
    </w:p>
    <w:p w14:paraId="1999EC59" w14:textId="77777777" w:rsidR="00743500" w:rsidRPr="00D95BA4" w:rsidRDefault="00743500" w:rsidP="00743500">
      <w:pPr>
        <w:numPr>
          <w:ilvl w:val="0"/>
          <w:numId w:val="1"/>
        </w:numPr>
        <w:pBdr>
          <w:bottom w:val="single" w:sz="4" w:space="1" w:color="auto"/>
        </w:pBd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 xml:space="preserve">URGENCIA CLÍNICA </w:t>
      </w:r>
      <w:r w:rsidR="00BC53C9">
        <w:rPr>
          <w:rFonts w:ascii="Arial" w:eastAsia="Calibri" w:hAnsi="Arial" w:cs="Arial"/>
          <w:b/>
          <w:sz w:val="20"/>
          <w:szCs w:val="20"/>
          <w:lang w:val="es-ES"/>
        </w:rPr>
        <w:t>VITAL</w:t>
      </w: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 xml:space="preserve"> </w:t>
      </w:r>
    </w:p>
    <w:p w14:paraId="410CDF5C" w14:textId="77777777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25E19BC6" w14:textId="77777777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Solo en caso de </w:t>
      </w:r>
      <w:r w:rsidRPr="00D95BA4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"/>
        </w:rPr>
        <w:t xml:space="preserve">Urgencia Clínica </w:t>
      </w:r>
      <w:r w:rsidR="00BC53C9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"/>
        </w:rPr>
        <w:t>Vital</w:t>
      </w:r>
      <w:r w:rsidRPr="00D95BA4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>podrá acudir directamente al centro sanitario más próximo. Una vez superada la primera asistencia de urgencias, el lesionado deberá ser trasladado a un centro médico concertado.</w:t>
      </w:r>
    </w:p>
    <w:p w14:paraId="5B21BC1E" w14:textId="2751A778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En caso de que permaneciera en </w:t>
      </w:r>
      <w:r w:rsidRPr="00D95BA4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CENTRO MÉDICO NO CONCERTADO</w:t>
      </w:r>
      <w:r w:rsidR="00621114">
        <w:rPr>
          <w:rFonts w:ascii="Arial" w:eastAsia="Calibri" w:hAnsi="Arial" w:cs="Arial"/>
          <w:bCs/>
          <w:color w:val="000000"/>
          <w:sz w:val="20"/>
          <w:szCs w:val="20"/>
          <w:lang w:val="es-ES"/>
        </w:rPr>
        <w:t>,</w:t>
      </w: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</w:t>
      </w:r>
      <w:r w:rsidR="00621114">
        <w:rPr>
          <w:rFonts w:ascii="Arial" w:eastAsia="Calibri" w:hAnsi="Arial" w:cs="Arial"/>
          <w:color w:val="000000"/>
          <w:sz w:val="20"/>
          <w:szCs w:val="20"/>
          <w:lang w:val="es-ES"/>
        </w:rPr>
        <w:t>Allianz</w:t>
      </w:r>
      <w:r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no se hará cargo de los costes por la atención prestada.</w:t>
      </w:r>
    </w:p>
    <w:p w14:paraId="383AA5CA" w14:textId="77777777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3CF6F686" w14:textId="5995F89A" w:rsidR="00743500" w:rsidRDefault="00621114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>
        <w:rPr>
          <w:rFonts w:ascii="Arial" w:eastAsia="Calibri" w:hAnsi="Arial" w:cs="Arial"/>
          <w:color w:val="000000"/>
          <w:sz w:val="20"/>
          <w:szCs w:val="20"/>
          <w:lang w:val="es-ES"/>
        </w:rPr>
        <w:t>Allianz</w:t>
      </w:r>
      <w:r w:rsidR="00743500"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 no se hará cargo de los gastos derivados de asistencias en centros no concertados o de la Seguridad Social salvo en los casos de urgencia vital. En el caso de que se facturaran a </w:t>
      </w:r>
      <w:r>
        <w:rPr>
          <w:rFonts w:ascii="Arial" w:eastAsia="Calibri" w:hAnsi="Arial" w:cs="Arial"/>
          <w:color w:val="000000"/>
          <w:sz w:val="20"/>
          <w:szCs w:val="20"/>
          <w:lang w:val="es-ES"/>
        </w:rPr>
        <w:t>Allianz</w:t>
      </w:r>
      <w:r w:rsidR="00743500" w:rsidRPr="00D95BA4">
        <w:rPr>
          <w:rFonts w:ascii="Arial" w:eastAsia="Calibri" w:hAnsi="Arial" w:cs="Arial"/>
          <w:color w:val="000000"/>
          <w:sz w:val="20"/>
          <w:szCs w:val="20"/>
          <w:lang w:val="es-ES"/>
        </w:rPr>
        <w:t>, ésta podría repercutirlos al asegurado.</w:t>
      </w:r>
    </w:p>
    <w:p w14:paraId="695C38BC" w14:textId="77777777" w:rsidR="00743500" w:rsidRPr="00D95BA4" w:rsidRDefault="00743500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37D3933C" w14:textId="5952414C" w:rsidR="00B14B28" w:rsidRDefault="00743500" w:rsidP="00C55189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440474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El federado deberá comunicar el primer día hábil su circunstancia a </w:t>
      </w:r>
      <w:r w:rsidRPr="00440474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la plataforma de siniestros de A</w:t>
      </w:r>
      <w:r w:rsidR="00EF0FAE" w:rsidRPr="00440474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>lli</w:t>
      </w:r>
      <w:r w:rsidR="00440474" w:rsidRPr="00440474">
        <w:rPr>
          <w:rFonts w:ascii="Arial" w:eastAsia="Calibri" w:hAnsi="Arial" w:cs="Arial"/>
          <w:b/>
          <w:color w:val="000000"/>
          <w:sz w:val="20"/>
          <w:szCs w:val="20"/>
          <w:lang w:val="es-ES"/>
        </w:rPr>
        <w:t xml:space="preserve">anz </w:t>
      </w:r>
      <w:r w:rsidRPr="00440474">
        <w:rPr>
          <w:rFonts w:ascii="Arial" w:eastAsia="Calibri" w:hAnsi="Arial" w:cs="Arial"/>
          <w:color w:val="000000"/>
          <w:sz w:val="20"/>
          <w:szCs w:val="20"/>
          <w:lang w:val="es-ES"/>
        </w:rPr>
        <w:t>para la apertura del expediente</w:t>
      </w:r>
      <w:r w:rsidR="00440474" w:rsidRPr="00440474">
        <w:rPr>
          <w:rFonts w:ascii="Arial" w:eastAsia="Calibri" w:hAnsi="Arial" w:cs="Arial"/>
          <w:color w:val="000000"/>
          <w:sz w:val="20"/>
          <w:szCs w:val="20"/>
          <w:lang w:val="es-ES"/>
        </w:rPr>
        <w:t>.</w:t>
      </w:r>
    </w:p>
    <w:p w14:paraId="439FE025" w14:textId="77777777" w:rsidR="00C55189" w:rsidRDefault="00C55189" w:rsidP="00C55189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5F183892" w14:textId="3F3F1D71" w:rsidR="00B14B28" w:rsidRDefault="00B14B28" w:rsidP="00302C28">
      <w:pPr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46F1CF1E" w14:textId="6130873D" w:rsidR="00B14B28" w:rsidRPr="00D95BA4" w:rsidRDefault="00B14B28" w:rsidP="00B14B28">
      <w:pPr>
        <w:numPr>
          <w:ilvl w:val="0"/>
          <w:numId w:val="1"/>
        </w:numPr>
        <w:pBdr>
          <w:bottom w:val="single" w:sz="4" w:space="1" w:color="auto"/>
        </w:pBd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es-ES"/>
        </w:rPr>
      </w:pPr>
      <w:r>
        <w:rPr>
          <w:rFonts w:ascii="Arial" w:eastAsia="Calibri" w:hAnsi="Arial" w:cs="Arial"/>
          <w:b/>
          <w:sz w:val="20"/>
          <w:szCs w:val="20"/>
          <w:lang w:val="es-ES"/>
        </w:rPr>
        <w:t>EN CASO DE INCIDENCIAS, CONTACTE CON AON</w:t>
      </w:r>
    </w:p>
    <w:p w14:paraId="7359612C" w14:textId="77777777" w:rsidR="00B14B28" w:rsidRDefault="00B14B28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20E853DD" w14:textId="2005F8FE" w:rsidR="0018180A" w:rsidRPr="00FC6C99" w:rsidRDefault="00A13F0F" w:rsidP="00DF22FF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C6C99">
        <w:rPr>
          <w:rFonts w:ascii="Arial" w:eastAsia="Calibri" w:hAnsi="Arial" w:cs="Arial"/>
          <w:sz w:val="20"/>
          <w:szCs w:val="20"/>
          <w:lang w:val="es-ES"/>
        </w:rPr>
        <w:t>Para c</w:t>
      </w:r>
      <w:r w:rsidR="006B159B" w:rsidRPr="00FC6C99">
        <w:rPr>
          <w:rFonts w:ascii="Arial" w:eastAsia="Calibri" w:hAnsi="Arial" w:cs="Arial"/>
          <w:sz w:val="20"/>
          <w:szCs w:val="20"/>
          <w:lang w:val="es-ES"/>
        </w:rPr>
        <w:t>ual</w:t>
      </w:r>
      <w:r w:rsidR="00DF22FF" w:rsidRPr="00FC6C99">
        <w:rPr>
          <w:rFonts w:ascii="Arial" w:eastAsia="Calibri" w:hAnsi="Arial" w:cs="Arial"/>
          <w:sz w:val="20"/>
          <w:szCs w:val="20"/>
          <w:lang w:val="es-ES"/>
        </w:rPr>
        <w:t>q</w:t>
      </w:r>
      <w:r w:rsidR="006B159B" w:rsidRPr="00FC6C99">
        <w:rPr>
          <w:rFonts w:ascii="Arial" w:eastAsia="Calibri" w:hAnsi="Arial" w:cs="Arial"/>
          <w:sz w:val="20"/>
          <w:szCs w:val="20"/>
          <w:lang w:val="es-ES"/>
        </w:rPr>
        <w:t>uier incidencia en la tramitación de siniestros q</w:t>
      </w:r>
      <w:r w:rsidR="00281367" w:rsidRPr="00FC6C99">
        <w:rPr>
          <w:rFonts w:ascii="Arial" w:eastAsia="Calibri" w:hAnsi="Arial" w:cs="Arial"/>
          <w:sz w:val="20"/>
          <w:szCs w:val="20"/>
          <w:lang w:val="es-ES"/>
        </w:rPr>
        <w:t>u</w:t>
      </w:r>
      <w:r w:rsidR="006B159B" w:rsidRPr="00FC6C99">
        <w:rPr>
          <w:rFonts w:ascii="Arial" w:eastAsia="Calibri" w:hAnsi="Arial" w:cs="Arial"/>
          <w:sz w:val="20"/>
          <w:szCs w:val="20"/>
          <w:lang w:val="es-ES"/>
        </w:rPr>
        <w:t xml:space="preserve">e no haya podido ser resuelta </w:t>
      </w:r>
      <w:r w:rsidR="00BF1831" w:rsidRPr="00FC6C99">
        <w:rPr>
          <w:rFonts w:ascii="Arial" w:eastAsia="Calibri" w:hAnsi="Arial" w:cs="Arial"/>
          <w:sz w:val="20"/>
          <w:szCs w:val="20"/>
          <w:lang w:val="es-ES"/>
        </w:rPr>
        <w:t>con la aseguradora</w:t>
      </w:r>
      <w:r w:rsidR="00FC6C99" w:rsidRPr="00FC6C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6B159B" w:rsidRPr="00FC6C99">
        <w:rPr>
          <w:rFonts w:ascii="Arial" w:eastAsia="Calibri" w:hAnsi="Arial" w:cs="Arial"/>
          <w:sz w:val="20"/>
          <w:szCs w:val="20"/>
          <w:lang w:val="es-ES"/>
        </w:rPr>
        <w:t xml:space="preserve">por el canal ordinario de gestión </w:t>
      </w:r>
      <w:r w:rsidRPr="00FC6C99">
        <w:rPr>
          <w:rFonts w:ascii="Arial" w:eastAsia="Calibri" w:hAnsi="Arial" w:cs="Arial"/>
          <w:sz w:val="20"/>
          <w:szCs w:val="20"/>
          <w:lang w:val="es-ES"/>
        </w:rPr>
        <w:t xml:space="preserve">indicado anteriormente, </w:t>
      </w:r>
      <w:r w:rsidR="00281367" w:rsidRPr="00FC6C99">
        <w:rPr>
          <w:rFonts w:ascii="Arial" w:eastAsia="Calibri" w:hAnsi="Arial" w:cs="Arial"/>
          <w:sz w:val="20"/>
          <w:szCs w:val="20"/>
          <w:lang w:val="es-ES"/>
        </w:rPr>
        <w:t>pu</w:t>
      </w:r>
      <w:r w:rsidR="0018180A" w:rsidRPr="00FC6C99">
        <w:rPr>
          <w:rFonts w:ascii="Arial" w:eastAsia="Calibri" w:hAnsi="Arial" w:cs="Arial"/>
          <w:sz w:val="20"/>
          <w:szCs w:val="20"/>
          <w:lang w:val="es-ES"/>
        </w:rPr>
        <w:t>e</w:t>
      </w:r>
      <w:r w:rsidR="00281367" w:rsidRPr="00FC6C99">
        <w:rPr>
          <w:rFonts w:ascii="Arial" w:eastAsia="Calibri" w:hAnsi="Arial" w:cs="Arial"/>
          <w:sz w:val="20"/>
          <w:szCs w:val="20"/>
          <w:lang w:val="es-ES"/>
        </w:rPr>
        <w:t>den ponerse en contacto con</w:t>
      </w:r>
      <w:r w:rsidR="00BB33C7" w:rsidRPr="00FC6C99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="002E7805" w:rsidRPr="00FC6C99">
        <w:rPr>
          <w:rFonts w:ascii="Arial" w:eastAsia="Calibri" w:hAnsi="Arial" w:cs="Arial"/>
          <w:sz w:val="20"/>
          <w:szCs w:val="20"/>
          <w:lang w:val="es-ES"/>
        </w:rPr>
        <w:t>AON al objeto de recibir el correspondiente asesoramiento:</w:t>
      </w:r>
    </w:p>
    <w:p w14:paraId="1D0D8386" w14:textId="77777777" w:rsidR="002E7805" w:rsidRDefault="002E7805" w:rsidP="002E7805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25235C76" w14:textId="3F024068" w:rsidR="00B14B28" w:rsidRDefault="00B14B28" w:rsidP="00B14B28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 xml:space="preserve">Correo electrónico de consultas y atención al federado: </w:t>
      </w:r>
      <w:hyperlink r:id="rId8" w:history="1">
        <w:r w:rsidRPr="003F4D46">
          <w:rPr>
            <w:rStyle w:val="Hipervnculo"/>
            <w:rFonts w:ascii="Arial" w:eastAsia="Calibri" w:hAnsi="Arial" w:cs="Arial"/>
            <w:sz w:val="20"/>
            <w:szCs w:val="20"/>
            <w:lang w:val="es-ES"/>
          </w:rPr>
          <w:t>siniestros.federaciones@aon.es</w:t>
        </w:r>
      </w:hyperlink>
      <w:r>
        <w:rPr>
          <w:rFonts w:ascii="Arial" w:eastAsia="Calibri" w:hAnsi="Arial" w:cs="Arial"/>
          <w:sz w:val="20"/>
          <w:szCs w:val="20"/>
          <w:lang w:val="es-ES"/>
        </w:rPr>
        <w:t xml:space="preserve"> </w:t>
      </w:r>
    </w:p>
    <w:p w14:paraId="249A1510" w14:textId="77777777" w:rsidR="00C30638" w:rsidRDefault="00C30638" w:rsidP="00B14B28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46DA607" w14:textId="3BF28215" w:rsidR="00B14B28" w:rsidRDefault="00F9052D" w:rsidP="00B14B28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F9052D">
        <w:rPr>
          <w:rFonts w:ascii="Arial" w:eastAsia="Calibri" w:hAnsi="Arial" w:cs="Arial"/>
          <w:sz w:val="20"/>
          <w:szCs w:val="20"/>
          <w:lang w:val="es-ES"/>
        </w:rPr>
        <w:t>Para cualquier solicitud de asesoramiento se debe de facilitar siempre el número de siniestro facilitado por la aseguradora tras la comunicación de siniestro</w:t>
      </w:r>
      <w:r w:rsidR="009760A4">
        <w:rPr>
          <w:rFonts w:ascii="Arial" w:eastAsia="Calibri" w:hAnsi="Arial" w:cs="Arial"/>
          <w:sz w:val="20"/>
          <w:szCs w:val="20"/>
          <w:lang w:val="es-ES"/>
        </w:rPr>
        <w:t>,</w:t>
      </w:r>
      <w:r w:rsidR="007D6D1E">
        <w:rPr>
          <w:rFonts w:ascii="Arial" w:eastAsia="Calibri" w:hAnsi="Arial" w:cs="Arial"/>
          <w:sz w:val="20"/>
          <w:szCs w:val="20"/>
          <w:lang w:val="es-ES"/>
        </w:rPr>
        <w:t xml:space="preserve"> junto al número de DNI y fecha de nacimiento.</w:t>
      </w:r>
    </w:p>
    <w:p w14:paraId="1EEBD188" w14:textId="77777777" w:rsidR="00FC6C99" w:rsidRDefault="00FC6C99" w:rsidP="00B14B28">
      <w:pPr>
        <w:spacing w:after="200" w:line="360" w:lineRule="auto"/>
        <w:ind w:left="873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0BF636A7" w14:textId="2983DEAE" w:rsidR="00B14B28" w:rsidRDefault="00046A9F" w:rsidP="00B14B28">
      <w:pPr>
        <w:numPr>
          <w:ilvl w:val="1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lang w:val="es-ES"/>
        </w:rPr>
        <w:t>El correo electrónico será la via principa</w:t>
      </w:r>
      <w:r w:rsidR="00E07FA7">
        <w:rPr>
          <w:rFonts w:ascii="Arial" w:eastAsia="Calibri" w:hAnsi="Arial" w:cs="Arial"/>
          <w:sz w:val="20"/>
          <w:szCs w:val="20"/>
          <w:lang w:val="es-ES"/>
        </w:rPr>
        <w:t>l de comunicación</w:t>
      </w:r>
      <w:r w:rsidR="009738FB">
        <w:rPr>
          <w:rFonts w:ascii="Arial" w:eastAsia="Calibri" w:hAnsi="Arial" w:cs="Arial"/>
          <w:sz w:val="20"/>
          <w:szCs w:val="20"/>
          <w:lang w:val="es-ES"/>
        </w:rPr>
        <w:t>,</w:t>
      </w:r>
      <w:r w:rsidR="00E07FA7">
        <w:rPr>
          <w:rFonts w:ascii="Arial" w:eastAsia="Calibri" w:hAnsi="Arial" w:cs="Arial"/>
          <w:sz w:val="20"/>
          <w:szCs w:val="20"/>
          <w:lang w:val="es-ES"/>
        </w:rPr>
        <w:t xml:space="preserve"> si bien se dispone igualmente de un </w:t>
      </w:r>
      <w:r w:rsidR="00B14B28">
        <w:rPr>
          <w:rFonts w:ascii="Arial" w:eastAsia="Calibri" w:hAnsi="Arial" w:cs="Arial"/>
          <w:sz w:val="20"/>
          <w:szCs w:val="20"/>
          <w:lang w:val="es-ES"/>
        </w:rPr>
        <w:t xml:space="preserve">teléfono de atención al federado llamando en </w:t>
      </w:r>
      <w:r w:rsidR="00B14B28" w:rsidRPr="00B14B28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horario de lunes a </w:t>
      </w:r>
      <w:r w:rsidR="00B52FE5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jueves </w:t>
      </w:r>
      <w:r w:rsidR="00B14B28" w:rsidRPr="00B14B28">
        <w:rPr>
          <w:rFonts w:ascii="Arial" w:eastAsia="Calibri" w:hAnsi="Arial" w:cs="Arial"/>
          <w:b/>
          <w:bCs/>
          <w:sz w:val="20"/>
          <w:szCs w:val="20"/>
          <w:lang w:val="es-ES"/>
        </w:rPr>
        <w:t>de 09:00 a 1</w:t>
      </w:r>
      <w:r w:rsidR="00DB72A4">
        <w:rPr>
          <w:rFonts w:ascii="Arial" w:eastAsia="Calibri" w:hAnsi="Arial" w:cs="Arial"/>
          <w:b/>
          <w:bCs/>
          <w:sz w:val="20"/>
          <w:szCs w:val="20"/>
          <w:lang w:val="es-ES"/>
        </w:rPr>
        <w:t>7</w:t>
      </w:r>
      <w:r w:rsidR="00B14B28" w:rsidRPr="00B14B28">
        <w:rPr>
          <w:rFonts w:ascii="Arial" w:eastAsia="Calibri" w:hAnsi="Arial" w:cs="Arial"/>
          <w:b/>
          <w:bCs/>
          <w:sz w:val="20"/>
          <w:szCs w:val="20"/>
          <w:lang w:val="es-ES"/>
        </w:rPr>
        <w:t>:00 horas</w:t>
      </w:r>
      <w:r w:rsidR="00B52FE5">
        <w:rPr>
          <w:rFonts w:ascii="Arial" w:eastAsia="Calibri" w:hAnsi="Arial" w:cs="Arial"/>
          <w:b/>
          <w:bCs/>
          <w:sz w:val="20"/>
          <w:szCs w:val="20"/>
          <w:lang w:val="es-ES"/>
        </w:rPr>
        <w:t xml:space="preserve"> y viernes hasta las 15 h</w:t>
      </w:r>
      <w:r w:rsidR="005733AB">
        <w:rPr>
          <w:rFonts w:ascii="Arial" w:eastAsia="Calibri" w:hAnsi="Arial" w:cs="Arial"/>
          <w:b/>
          <w:bCs/>
          <w:sz w:val="20"/>
          <w:szCs w:val="20"/>
          <w:lang w:val="es-ES"/>
        </w:rPr>
        <w:t>oras</w:t>
      </w:r>
      <w:r w:rsidR="00B14B28">
        <w:rPr>
          <w:rFonts w:ascii="Arial" w:eastAsia="Calibri" w:hAnsi="Arial" w:cs="Arial"/>
          <w:sz w:val="20"/>
          <w:szCs w:val="20"/>
          <w:lang w:val="es-ES"/>
        </w:rPr>
        <w:t>:</w:t>
      </w:r>
    </w:p>
    <w:p w14:paraId="4FBA7408" w14:textId="77777777" w:rsidR="00B14B28" w:rsidRDefault="00B14B28" w:rsidP="00B14B28">
      <w:pPr>
        <w:spacing w:after="200" w:line="360" w:lineRule="auto"/>
        <w:ind w:left="1593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</w:p>
    <w:p w14:paraId="0A1DB910" w14:textId="1D184918" w:rsidR="00B14B28" w:rsidRPr="00621114" w:rsidRDefault="00B14B28" w:rsidP="00621114">
      <w:pPr>
        <w:spacing w:after="200" w:line="360" w:lineRule="auto"/>
        <w:ind w:left="1593" w:firstLine="531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 xml:space="preserve"> </w:t>
      </w:r>
      <w:r w:rsidR="00E11E3D" w:rsidRPr="00E11E3D">
        <w:rPr>
          <w:rFonts w:ascii="Arial" w:eastAsia="Calibri" w:hAnsi="Arial" w:cs="Arial"/>
          <w:b/>
          <w:bCs/>
          <w:color w:val="000000" w:themeColor="text1"/>
          <w:sz w:val="44"/>
          <w:szCs w:val="44"/>
        </w:rPr>
        <w:t>91 489 12 68</w:t>
      </w:r>
    </w:p>
    <w:p w14:paraId="0B7C9E74" w14:textId="77777777" w:rsidR="00822413" w:rsidRDefault="00822413" w:rsidP="00B14B28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4D3F8376" w14:textId="77777777" w:rsidR="00B14B28" w:rsidRPr="00D95BA4" w:rsidRDefault="00B14B28" w:rsidP="00743500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67AEECAA" w14:textId="7C5389C0" w:rsidR="00743500" w:rsidRPr="00D95BA4" w:rsidRDefault="00743500" w:rsidP="00D576AF">
      <w:pPr>
        <w:spacing w:after="200" w:line="276" w:lineRule="auto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>* Le recordamos que:</w:t>
      </w:r>
    </w:p>
    <w:p w14:paraId="3CBA30DE" w14:textId="77777777" w:rsidR="00743500" w:rsidRPr="00D95BA4" w:rsidRDefault="00743500" w:rsidP="0074350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Será motivo de </w:t>
      </w: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cierre del expediente del Siniestro y por tanto no continuidad de tratamiento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, si durante la BAJA MEDICA DEPORTIVA el Federado realiza actividad deportiva,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 xml:space="preserve">careciendo de cobertura los accidentes posteriores que pudieran producirse sin estar de alta médica por un accidente anterior. </w:t>
      </w:r>
    </w:p>
    <w:p w14:paraId="4DF178D5" w14:textId="77777777" w:rsidR="00743500" w:rsidRPr="00D95BA4" w:rsidRDefault="00743500" w:rsidP="00743500">
      <w:pPr>
        <w:spacing w:after="200" w:line="360" w:lineRule="auto"/>
        <w:ind w:left="1321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43B56875" w14:textId="77777777" w:rsidR="00743500" w:rsidRPr="00D95BA4" w:rsidRDefault="00743500" w:rsidP="0074350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El accidente debe ser comunicado </w:t>
      </w: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en un periodo máximo de 7 días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 desde que se produce el mismo.</w:t>
      </w:r>
    </w:p>
    <w:p w14:paraId="21752B9E" w14:textId="77777777" w:rsidR="00743500" w:rsidRPr="00D95BA4" w:rsidRDefault="00743500" w:rsidP="00743500">
      <w:pPr>
        <w:spacing w:after="200" w:line="360" w:lineRule="auto"/>
        <w:ind w:left="1321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27172172" w14:textId="77777777" w:rsidR="00743500" w:rsidRPr="00D95BA4" w:rsidRDefault="00743500" w:rsidP="0074350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lastRenderedPageBreak/>
        <w:t xml:space="preserve">Cualquier asistencia, consulta médica, pruebas o rehabilitación, que no sea de </w:t>
      </w:r>
      <w:r w:rsidRPr="00D95BA4">
        <w:rPr>
          <w:rFonts w:ascii="Arial" w:eastAsia="Calibri" w:hAnsi="Arial" w:cs="Arial"/>
          <w:b/>
          <w:sz w:val="20"/>
          <w:szCs w:val="20"/>
          <w:lang w:val="es-ES"/>
        </w:rPr>
        <w:t>URGENCIAS,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 </w:t>
      </w:r>
      <w:r w:rsidRPr="00D95BA4">
        <w:rPr>
          <w:rFonts w:ascii="Arial" w:eastAsia="Calibri" w:hAnsi="Arial" w:cs="Arial"/>
          <w:b/>
          <w:color w:val="FF0000"/>
          <w:sz w:val="20"/>
          <w:szCs w:val="20"/>
          <w:u w:val="single"/>
          <w:lang w:val="es-ES"/>
        </w:rPr>
        <w:t>deberá ser autorizada previamente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>, de lo contrario será el federado quien se haga cargo de los costes incurridos.</w:t>
      </w:r>
    </w:p>
    <w:p w14:paraId="3D6ACC1C" w14:textId="77777777" w:rsidR="00743500" w:rsidRPr="00D95BA4" w:rsidRDefault="00743500" w:rsidP="00743500">
      <w:pPr>
        <w:spacing w:after="200" w:line="360" w:lineRule="auto"/>
        <w:ind w:left="1321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452522C4" w14:textId="77777777" w:rsidR="00D1261E" w:rsidRDefault="00743500" w:rsidP="00FD3CE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Les recordamos que la póliza de la Federación se rige según el Real Decreto 849/1993 por la cual se incluyen las lesiones derivadas de accidente deportivo, es decir, por   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traumatismo puntual, violento, súbito y externo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, durante la práctica  deportiva,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siempre que no sean debidos a  lesiones crónicas y/o preexistentes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 xml:space="preserve">;  </w:t>
      </w:r>
      <w:r w:rsidRPr="00D95BA4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se excluyen también las enfermedades  o patologías crónicas derivadas de la práctica habitual del  deporte, por microtraumatismos repetidos, tales como tendinitis y bursitis crónica, artrosis o artritis, hernias discales, y en general cualquier patología degenerativa</w:t>
      </w:r>
      <w:r w:rsidRPr="00D95BA4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3DE7EAAD" w14:textId="77777777" w:rsidR="00860D92" w:rsidRDefault="00860D92" w:rsidP="00FD3CEC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3AA88A52" w14:textId="77777777" w:rsidR="00D11596" w:rsidRDefault="00D11596" w:rsidP="00860D92">
      <w:pPr>
        <w:pBdr>
          <w:bottom w:val="single" w:sz="12" w:space="1" w:color="auto"/>
        </w:pBd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2BF83D49" w14:textId="77777777" w:rsidR="00302C28" w:rsidRDefault="00302C28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36E9D5FA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C85D055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A506C75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0F77625C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46E7D743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8CB44B1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144747F2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44A0CB9F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763D61DF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65CD0A46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33977BA7" w14:textId="77777777" w:rsidR="00D11596" w:rsidRDefault="00D11596" w:rsidP="00860D9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546328F5" w14:textId="1F021930" w:rsidR="004C23F9" w:rsidRDefault="004C23F9" w:rsidP="00621114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2E8D1411" w14:textId="77777777" w:rsidR="006F5589" w:rsidRDefault="006F5589" w:rsidP="00621114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s-ES"/>
        </w:rPr>
      </w:pPr>
    </w:p>
    <w:p w14:paraId="2849AD1D" w14:textId="77777777" w:rsidR="004C23F9" w:rsidRDefault="004C23F9" w:rsidP="00621114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s-ES"/>
        </w:rPr>
      </w:pPr>
    </w:p>
    <w:p w14:paraId="232EF177" w14:textId="2D0949B9" w:rsidR="00860D92" w:rsidRPr="00860D92" w:rsidRDefault="00621114" w:rsidP="00621114">
      <w:pPr>
        <w:spacing w:after="200" w:line="360" w:lineRule="auto"/>
        <w:contextualSpacing/>
        <w:jc w:val="both"/>
        <w:rPr>
          <w:lang w:val="es-ES"/>
        </w:rPr>
      </w:pPr>
      <w:r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s-ES"/>
        </w:rPr>
        <w:t>Información y Protección de Datos</w:t>
      </w:r>
      <w:r w:rsidR="00860D92" w:rsidRPr="00151651">
        <w:rPr>
          <w:rFonts w:ascii="Arial" w:eastAsia="Calibri" w:hAnsi="Arial" w:cs="Arial"/>
          <w:b/>
          <w:bCs/>
          <w:color w:val="000000" w:themeColor="text1"/>
          <w:sz w:val="16"/>
          <w:szCs w:val="16"/>
          <w:lang w:val="es-ES"/>
        </w:rPr>
        <w:t>:</w:t>
      </w:r>
      <w:r w:rsidR="00860D92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Aon </w:t>
      </w:r>
      <w:r w:rsidR="00151651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Iberia Correduría de Seguros y Reaseguros S.A.U. </w:t>
      </w:r>
      <w:r w:rsidR="00860D92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actúa 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como correduría de seguros</w:t>
      </w:r>
      <w:r w:rsidR="00860D92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designada por la Federación </w:t>
      </w:r>
      <w:r w:rsidR="0001599D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p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ara la gestión de la póliza de seguro de accidentes suscrita con</w:t>
      </w:r>
      <w:r w:rsidR="0017739B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Allianz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,</w:t>
      </w:r>
      <w:r w:rsidR="00F973BB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  <w:r w:rsidR="00151651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siendo esta última la</w:t>
      </w:r>
      <w:r w:rsidR="00F973BB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entidad Aseguradora</w:t>
      </w:r>
      <w:r w:rsidR="00CF56A3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que </w:t>
      </w:r>
      <w:r w:rsidR="00151651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asume la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cobertura a las prestaciones contenidas en la póliza</w:t>
      </w:r>
      <w:r w:rsidR="00CF56A3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.</w:t>
      </w:r>
      <w:r w:rsidR="00302C28" w:rsidRPr="00151651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  <w:r w:rsidRPr="00621114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Para acceder a la información Previa de </w:t>
      </w:r>
      <w:r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>Aon</w:t>
      </w:r>
      <w:r w:rsidRPr="00621114"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Iberia Correduría de Seguros y Reaseguros S.A.U. y de protección de datos, pinche en este link: </w:t>
      </w:r>
      <w:hyperlink r:id="rId9" w:history="1">
        <w:r w:rsidRPr="001B3690">
          <w:rPr>
            <w:rStyle w:val="Hipervnculo"/>
            <w:rFonts w:ascii="Arial" w:eastAsia="Calibri" w:hAnsi="Arial" w:cs="Arial"/>
            <w:sz w:val="16"/>
            <w:szCs w:val="16"/>
            <w:lang w:val="es-ES"/>
          </w:rPr>
          <w:t>http://www.aon.es/included_code/html/aviso_correo.html</w:t>
        </w:r>
      </w:hyperlink>
      <w:r>
        <w:rPr>
          <w:rFonts w:ascii="Arial" w:eastAsia="Calibri" w:hAnsi="Arial" w:cs="Arial"/>
          <w:color w:val="000000" w:themeColor="text1"/>
          <w:sz w:val="16"/>
          <w:szCs w:val="16"/>
          <w:lang w:val="es-ES"/>
        </w:rPr>
        <w:t xml:space="preserve"> </w:t>
      </w:r>
    </w:p>
    <w:sectPr w:rsidR="00860D92" w:rsidRPr="00860D9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F560" w14:textId="77777777" w:rsidR="004031BE" w:rsidRDefault="004031BE" w:rsidP="00FD3CEC">
      <w:r>
        <w:separator/>
      </w:r>
    </w:p>
  </w:endnote>
  <w:endnote w:type="continuationSeparator" w:id="0">
    <w:p w14:paraId="4D4855C0" w14:textId="77777777" w:rsidR="004031BE" w:rsidRDefault="004031BE" w:rsidP="00FD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F921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Calle Velázquez núm. 86-D | 28006 Madrid</w:t>
    </w:r>
  </w:p>
  <w:p w14:paraId="200B6B3D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t +34 91 340 50 00 |  www.aon.es</w:t>
    </w:r>
  </w:p>
  <w:p w14:paraId="711DCD90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Aon Iberia Correduría de Seguros y Reaseguros S.A.U</w:t>
    </w:r>
  </w:p>
  <w:p w14:paraId="1F63F551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Inscrita en el Rº Mercantil de Madrid, Hoja M-19857, Tomo 15321, Folio 133, N.I.F. A-28109247</w:t>
    </w:r>
  </w:p>
  <w:p w14:paraId="58C6DC65" w14:textId="77777777" w:rsidR="00302C28" w:rsidRPr="00302C28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Inscrita en el Registro Especial de Sociedades de Correduría de Seguros de la DGS con la clave J-107.</w:t>
    </w:r>
  </w:p>
  <w:p w14:paraId="79158415" w14:textId="27A289D6" w:rsidR="006F5589" w:rsidRPr="006F5589" w:rsidRDefault="00302C28" w:rsidP="00302C28">
    <w:pPr>
      <w:pStyle w:val="Piedepgina"/>
      <w:rPr>
        <w:rFonts w:ascii="Arial" w:eastAsia="Calibri" w:hAnsi="Arial" w:cs="Arial"/>
        <w:color w:val="000000"/>
        <w:sz w:val="14"/>
        <w:szCs w:val="14"/>
        <w:lang w:val="es-ES" w:eastAsia="es-ES"/>
      </w:rPr>
    </w:pPr>
    <w:r w:rsidRPr="00302C28">
      <w:rPr>
        <w:rFonts w:ascii="Arial" w:eastAsia="Calibri" w:hAnsi="Arial" w:cs="Arial"/>
        <w:color w:val="000000"/>
        <w:sz w:val="14"/>
        <w:szCs w:val="14"/>
        <w:lang w:val="es-ES" w:eastAsia="es-ES"/>
      </w:rPr>
      <w:t>Capacidad financiera y Seguro de Responsabilidad Civil concertado según lo previsto en la Ley de Distribución de Seguros</w:t>
    </w:r>
  </w:p>
  <w:p w14:paraId="3987CCD6" w14:textId="61FE0F12" w:rsidR="006F5589" w:rsidRPr="006F5589" w:rsidRDefault="006F5589" w:rsidP="006F5589">
    <w:pPr>
      <w:pStyle w:val="Piedepgina"/>
      <w:jc w:val="right"/>
      <w:rPr>
        <w:rFonts w:ascii="Arial" w:hAnsi="Arial" w:cs="Arial"/>
        <w:sz w:val="14"/>
        <w:szCs w:val="14"/>
      </w:rPr>
    </w:pPr>
    <w:r w:rsidRPr="006F5589">
      <w:rPr>
        <w:rFonts w:ascii="Arial" w:hAnsi="Arial" w:cs="Arial"/>
        <w:sz w:val="14"/>
        <w:szCs w:val="14"/>
      </w:rPr>
      <w:fldChar w:fldCharType="begin"/>
    </w:r>
    <w:r w:rsidRPr="006F5589">
      <w:rPr>
        <w:rFonts w:ascii="Arial" w:hAnsi="Arial" w:cs="Arial"/>
        <w:sz w:val="14"/>
        <w:szCs w:val="14"/>
      </w:rPr>
      <w:instrText>PAGE   \* MERGEFORMAT</w:instrText>
    </w:r>
    <w:r w:rsidRPr="006F5589">
      <w:rPr>
        <w:rFonts w:ascii="Arial" w:hAnsi="Arial" w:cs="Arial"/>
        <w:sz w:val="14"/>
        <w:szCs w:val="14"/>
      </w:rPr>
      <w:fldChar w:fldCharType="separate"/>
    </w:r>
    <w:r w:rsidRPr="006F5589">
      <w:rPr>
        <w:rFonts w:ascii="Arial" w:hAnsi="Arial" w:cs="Arial"/>
        <w:sz w:val="14"/>
        <w:szCs w:val="14"/>
        <w:lang w:val="es-ES"/>
      </w:rPr>
      <w:t>1</w:t>
    </w:r>
    <w:r w:rsidRPr="006F5589">
      <w:rPr>
        <w:rFonts w:ascii="Arial" w:hAnsi="Arial" w:cs="Arial"/>
        <w:sz w:val="14"/>
        <w:szCs w:val="14"/>
      </w:rPr>
      <w:fldChar w:fldCharType="end"/>
    </w:r>
  </w:p>
  <w:p w14:paraId="29F419A4" w14:textId="240D42FC" w:rsidR="006F5589" w:rsidRDefault="006F5589" w:rsidP="006F5589">
    <w:pPr>
      <w:pStyle w:val="Piedepgina"/>
      <w:jc w:val="right"/>
      <w:rPr>
        <w:sz w:val="14"/>
        <w:szCs w:val="14"/>
      </w:rPr>
    </w:pPr>
  </w:p>
  <w:p w14:paraId="2BCF948A" w14:textId="77777777" w:rsidR="006F5589" w:rsidRPr="00302C28" w:rsidRDefault="006F5589" w:rsidP="006F5589">
    <w:pPr>
      <w:pStyle w:val="Piedepgina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C711" w14:textId="77777777" w:rsidR="004031BE" w:rsidRDefault="004031BE" w:rsidP="00FD3CEC">
      <w:r>
        <w:separator/>
      </w:r>
    </w:p>
  </w:footnote>
  <w:footnote w:type="continuationSeparator" w:id="0">
    <w:p w14:paraId="19072C10" w14:textId="77777777" w:rsidR="004031BE" w:rsidRDefault="004031BE" w:rsidP="00FD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9BA3" w14:textId="7A4209E6" w:rsidR="006F5589" w:rsidRDefault="006F5589" w:rsidP="006F5589">
    <w:pPr>
      <w:pStyle w:val="Encabezado"/>
    </w:pPr>
    <w:r w:rsidRPr="006F5589">
      <w:rPr>
        <w:noProof/>
        <w:sz w:val="24"/>
        <w:szCs w:val="24"/>
        <w:lang w:val="es-ES" w:eastAsia="es-ES"/>
      </w:rPr>
      <w:drawing>
        <wp:inline distT="0" distB="0" distL="0" distR="0" wp14:anchorId="5282AA8C" wp14:editId="79D5AF92">
          <wp:extent cx="899795" cy="6000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B6890" w14:textId="77777777" w:rsidR="00A32C03" w:rsidRDefault="00A32C03" w:rsidP="00A32C03">
    <w:pPr>
      <w:pStyle w:val="Encabezado"/>
      <w:tabs>
        <w:tab w:val="left" w:pos="1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083"/>
    <w:multiLevelType w:val="hybridMultilevel"/>
    <w:tmpl w:val="C95C6D6C"/>
    <w:lvl w:ilvl="0" w:tplc="65EC8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F6C4246">
      <w:start w:val="1"/>
      <w:numFmt w:val="bullet"/>
      <w:lvlText w:val=""/>
      <w:lvlJc w:val="left"/>
      <w:pPr>
        <w:ind w:left="1069" w:hanging="360"/>
      </w:pPr>
      <w:rPr>
        <w:rFonts w:ascii="Wingdings 3" w:hAnsi="Wingdings 3" w:hint="default"/>
        <w:color w:val="739ABC"/>
        <w:sz w:val="24"/>
      </w:rPr>
    </w:lvl>
    <w:lvl w:ilvl="2" w:tplc="AF6C4246">
      <w:start w:val="1"/>
      <w:numFmt w:val="bullet"/>
      <w:lvlText w:val=""/>
      <w:lvlJc w:val="left"/>
      <w:pPr>
        <w:ind w:left="1593" w:hanging="180"/>
      </w:pPr>
      <w:rPr>
        <w:rFonts w:ascii="Wingdings 3" w:hAnsi="Wingdings 3" w:hint="default"/>
        <w:color w:val="739ABC"/>
        <w:sz w:val="24"/>
      </w:r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7AB28A8"/>
    <w:multiLevelType w:val="hybridMultilevel"/>
    <w:tmpl w:val="055E4B3E"/>
    <w:lvl w:ilvl="0" w:tplc="AF6C4246">
      <w:start w:val="1"/>
      <w:numFmt w:val="bullet"/>
      <w:lvlText w:val=""/>
      <w:lvlJc w:val="left"/>
      <w:pPr>
        <w:ind w:left="1321" w:hanging="360"/>
      </w:pPr>
      <w:rPr>
        <w:rFonts w:ascii="Wingdings 3" w:hAnsi="Wingdings 3" w:hint="default"/>
        <w:color w:val="739ABC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041" w:hanging="360"/>
      </w:pPr>
    </w:lvl>
    <w:lvl w:ilvl="2" w:tplc="0C0A001B" w:tentative="1">
      <w:start w:val="1"/>
      <w:numFmt w:val="lowerRoman"/>
      <w:lvlText w:val="%3."/>
      <w:lvlJc w:val="right"/>
      <w:pPr>
        <w:ind w:left="2761" w:hanging="180"/>
      </w:pPr>
    </w:lvl>
    <w:lvl w:ilvl="3" w:tplc="0C0A000F" w:tentative="1">
      <w:start w:val="1"/>
      <w:numFmt w:val="decimal"/>
      <w:lvlText w:val="%4."/>
      <w:lvlJc w:val="left"/>
      <w:pPr>
        <w:ind w:left="3481" w:hanging="360"/>
      </w:pPr>
    </w:lvl>
    <w:lvl w:ilvl="4" w:tplc="0C0A0019" w:tentative="1">
      <w:start w:val="1"/>
      <w:numFmt w:val="lowerLetter"/>
      <w:lvlText w:val="%5."/>
      <w:lvlJc w:val="left"/>
      <w:pPr>
        <w:ind w:left="4201" w:hanging="360"/>
      </w:pPr>
    </w:lvl>
    <w:lvl w:ilvl="5" w:tplc="0C0A001B" w:tentative="1">
      <w:start w:val="1"/>
      <w:numFmt w:val="lowerRoman"/>
      <w:lvlText w:val="%6."/>
      <w:lvlJc w:val="right"/>
      <w:pPr>
        <w:ind w:left="4921" w:hanging="180"/>
      </w:pPr>
    </w:lvl>
    <w:lvl w:ilvl="6" w:tplc="0C0A000F" w:tentative="1">
      <w:start w:val="1"/>
      <w:numFmt w:val="decimal"/>
      <w:lvlText w:val="%7."/>
      <w:lvlJc w:val="left"/>
      <w:pPr>
        <w:ind w:left="5641" w:hanging="360"/>
      </w:pPr>
    </w:lvl>
    <w:lvl w:ilvl="7" w:tplc="0C0A0019" w:tentative="1">
      <w:start w:val="1"/>
      <w:numFmt w:val="lowerLetter"/>
      <w:lvlText w:val="%8."/>
      <w:lvlJc w:val="left"/>
      <w:pPr>
        <w:ind w:left="6361" w:hanging="360"/>
      </w:pPr>
    </w:lvl>
    <w:lvl w:ilvl="8" w:tplc="0C0A001B" w:tentative="1">
      <w:start w:val="1"/>
      <w:numFmt w:val="lowerRoman"/>
      <w:lvlText w:val="%9."/>
      <w:lvlJc w:val="right"/>
      <w:pPr>
        <w:ind w:left="7081" w:hanging="180"/>
      </w:pPr>
    </w:lvl>
  </w:abstractNum>
  <w:num w:numId="1" w16cid:durableId="1347557064">
    <w:abstractNumId w:val="0"/>
  </w:num>
  <w:num w:numId="2" w16cid:durableId="68814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00"/>
    <w:rsid w:val="00014AAF"/>
    <w:rsid w:val="0001599D"/>
    <w:rsid w:val="00032E49"/>
    <w:rsid w:val="00046A9F"/>
    <w:rsid w:val="000F7C08"/>
    <w:rsid w:val="00111C6A"/>
    <w:rsid w:val="00151651"/>
    <w:rsid w:val="00164BB3"/>
    <w:rsid w:val="0017739B"/>
    <w:rsid w:val="0018180A"/>
    <w:rsid w:val="00192535"/>
    <w:rsid w:val="001B31E7"/>
    <w:rsid w:val="001C5C68"/>
    <w:rsid w:val="001D0AFD"/>
    <w:rsid w:val="002439E6"/>
    <w:rsid w:val="002708DF"/>
    <w:rsid w:val="00281019"/>
    <w:rsid w:val="00281367"/>
    <w:rsid w:val="00281AC4"/>
    <w:rsid w:val="002E7805"/>
    <w:rsid w:val="002F7F08"/>
    <w:rsid w:val="00302C28"/>
    <w:rsid w:val="00360A44"/>
    <w:rsid w:val="00363ADD"/>
    <w:rsid w:val="003652D1"/>
    <w:rsid w:val="00370C20"/>
    <w:rsid w:val="00371080"/>
    <w:rsid w:val="00393790"/>
    <w:rsid w:val="00397CE4"/>
    <w:rsid w:val="003B280A"/>
    <w:rsid w:val="003D4F8E"/>
    <w:rsid w:val="004031BE"/>
    <w:rsid w:val="00437365"/>
    <w:rsid w:val="00440474"/>
    <w:rsid w:val="004414E6"/>
    <w:rsid w:val="00471EFD"/>
    <w:rsid w:val="004B1119"/>
    <w:rsid w:val="004C23F9"/>
    <w:rsid w:val="004C36AA"/>
    <w:rsid w:val="004C7067"/>
    <w:rsid w:val="005135FF"/>
    <w:rsid w:val="00560C1C"/>
    <w:rsid w:val="00561347"/>
    <w:rsid w:val="005733AB"/>
    <w:rsid w:val="0059404F"/>
    <w:rsid w:val="005E0382"/>
    <w:rsid w:val="006167CF"/>
    <w:rsid w:val="00621114"/>
    <w:rsid w:val="006548B4"/>
    <w:rsid w:val="00663D31"/>
    <w:rsid w:val="006B159B"/>
    <w:rsid w:val="006F5589"/>
    <w:rsid w:val="00720696"/>
    <w:rsid w:val="00743500"/>
    <w:rsid w:val="00744F21"/>
    <w:rsid w:val="007A41E5"/>
    <w:rsid w:val="007D6D1E"/>
    <w:rsid w:val="0080462B"/>
    <w:rsid w:val="00811C9F"/>
    <w:rsid w:val="00822413"/>
    <w:rsid w:val="00830DB2"/>
    <w:rsid w:val="008517D6"/>
    <w:rsid w:val="008519FB"/>
    <w:rsid w:val="00854145"/>
    <w:rsid w:val="00860D92"/>
    <w:rsid w:val="008C2680"/>
    <w:rsid w:val="008E765E"/>
    <w:rsid w:val="009738FB"/>
    <w:rsid w:val="009760A4"/>
    <w:rsid w:val="009D1899"/>
    <w:rsid w:val="009E552B"/>
    <w:rsid w:val="009F50D0"/>
    <w:rsid w:val="00A13F0F"/>
    <w:rsid w:val="00A15E96"/>
    <w:rsid w:val="00A32C03"/>
    <w:rsid w:val="00A44A5E"/>
    <w:rsid w:val="00A62D01"/>
    <w:rsid w:val="00A71B06"/>
    <w:rsid w:val="00AA3EF4"/>
    <w:rsid w:val="00AD0936"/>
    <w:rsid w:val="00B0313F"/>
    <w:rsid w:val="00B14B28"/>
    <w:rsid w:val="00B475C3"/>
    <w:rsid w:val="00B52FE5"/>
    <w:rsid w:val="00B53FE7"/>
    <w:rsid w:val="00BB33C7"/>
    <w:rsid w:val="00BB6AA6"/>
    <w:rsid w:val="00BC53C9"/>
    <w:rsid w:val="00BF1831"/>
    <w:rsid w:val="00BF5DD9"/>
    <w:rsid w:val="00C17390"/>
    <w:rsid w:val="00C30638"/>
    <w:rsid w:val="00C55189"/>
    <w:rsid w:val="00C701FB"/>
    <w:rsid w:val="00CF56A3"/>
    <w:rsid w:val="00D11596"/>
    <w:rsid w:val="00D1261E"/>
    <w:rsid w:val="00D576AF"/>
    <w:rsid w:val="00D6297C"/>
    <w:rsid w:val="00DA5BA5"/>
    <w:rsid w:val="00DB155B"/>
    <w:rsid w:val="00DB72A4"/>
    <w:rsid w:val="00DE02A1"/>
    <w:rsid w:val="00DF22FF"/>
    <w:rsid w:val="00E07FA7"/>
    <w:rsid w:val="00E11E3D"/>
    <w:rsid w:val="00E3707B"/>
    <w:rsid w:val="00E43F9F"/>
    <w:rsid w:val="00E94878"/>
    <w:rsid w:val="00ED4DAB"/>
    <w:rsid w:val="00EF0FAE"/>
    <w:rsid w:val="00F40047"/>
    <w:rsid w:val="00F56804"/>
    <w:rsid w:val="00F65A72"/>
    <w:rsid w:val="00F9052D"/>
    <w:rsid w:val="00F973BB"/>
    <w:rsid w:val="00FB1310"/>
    <w:rsid w:val="00FC6C99"/>
    <w:rsid w:val="00FD3CEC"/>
    <w:rsid w:val="00FE0DDC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DB468"/>
  <w15:docId w15:val="{6E7966C8-C79D-4FDE-BDF6-C9F8F0CF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500"/>
    <w:pPr>
      <w:spacing w:after="0" w:line="240" w:lineRule="auto"/>
    </w:pPr>
    <w:rPr>
      <w:rFonts w:ascii="Times New Roman" w:eastAsia="Times New Roman" w:hAnsi="Times New Roman" w:cs="Times New Roman"/>
      <w:lang w:val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CE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3C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CEC"/>
    <w:rPr>
      <w:rFonts w:ascii="Times New Roman" w:eastAsia="Times New Roman" w:hAnsi="Times New Roman" w:cs="Times New Roman"/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FD3C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CEC"/>
    <w:rPr>
      <w:rFonts w:ascii="Times New Roman" w:eastAsia="Times New Roman" w:hAnsi="Times New Roman" w:cs="Times New Roman"/>
      <w:lang w:val="nl-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C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CEC"/>
    <w:rPr>
      <w:rFonts w:ascii="Tahoma" w:eastAsia="Times New Roman" w:hAnsi="Tahoma" w:cs="Tahoma"/>
      <w:sz w:val="16"/>
      <w:szCs w:val="16"/>
      <w:lang w:val="nl-NL"/>
    </w:rPr>
  </w:style>
  <w:style w:type="character" w:styleId="Mencinsinresolver">
    <w:name w:val="Unresolved Mention"/>
    <w:basedOn w:val="Fuentedeprrafopredeter"/>
    <w:uiPriority w:val="99"/>
    <w:semiHidden/>
    <w:unhideWhenUsed/>
    <w:rsid w:val="00B14B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905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02C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C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C28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C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C28"/>
    <w:rPr>
      <w:rFonts w:ascii="Times New Roman" w:eastAsia="Times New Roman" w:hAnsi="Times New Roman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estros.federaciones@ao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on.es/included_code/html/aviso_corre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a4232354-7c17-45b6-bbc3-829f28bc16b4</TitusGUID>
  <TitusMetadata xmlns="">eyJucyI6Imh0dHA6XC9cL3d3dy50aXR1cy5jb21cL25zXC9BT04iLCJwcm9wcyI6W3sibiI6IkFvbkNsYXNzaWZpY2F0aW9uIiwidmFscyI6W3sidmFsdWUiOiJBRENfY2xhc3NfMTAwIn1dfSx7Im4iOiJBb25SZXN0cmljdGVkIiwidmFscyI6W119LHsibiI6IkFvblZpc3VhbE1hcmtpbmdzIiwidmFscyI6W119XX0=</TitusMetadata>
</titus>
</file>

<file path=customXml/itemProps1.xml><?xml version="1.0" encoding="utf-8"?>
<ds:datastoreItem xmlns:ds="http://schemas.openxmlformats.org/officeDocument/2006/customXml" ds:itemID="{3C0A8D0C-A5ED-4835-8FC6-073157102F0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Ocaña Roldan</dc:creator>
  <cp:lastModifiedBy>Nuño Contreras Labat</cp:lastModifiedBy>
  <cp:revision>20</cp:revision>
  <cp:lastPrinted>2023-12-13T10:26:00Z</cp:lastPrinted>
  <dcterms:created xsi:type="dcterms:W3CDTF">2023-12-20T09:29:00Z</dcterms:created>
  <dcterms:modified xsi:type="dcterms:W3CDTF">2023-12-21T09:37:00Z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a4232354-7c17-45b6-bbc3-829f28bc16b4</vt:lpwstr>
  </property>
  <property fmtid="{D5CDD505-2E9C-101B-9397-08002B2CF9AE}" pid="3" name="AonClassification">
    <vt:lpwstr>ADC_class_100</vt:lpwstr>
  </property>
  <property fmtid="{D5CDD505-2E9C-101B-9397-08002B2CF9AE}" pid="4" name="MSIP_Label_9043f10a-881e-4653-a55e-02ca2cc829dc_Enabled">
    <vt:lpwstr>true</vt:lpwstr>
  </property>
  <property fmtid="{D5CDD505-2E9C-101B-9397-08002B2CF9AE}" pid="5" name="MSIP_Label_9043f10a-881e-4653-a55e-02ca2cc829dc_SetDate">
    <vt:lpwstr>2023-11-30T08:24:04Z</vt:lpwstr>
  </property>
  <property fmtid="{D5CDD505-2E9C-101B-9397-08002B2CF9AE}" pid="6" name="MSIP_Label_9043f10a-881e-4653-a55e-02ca2cc829dc_Method">
    <vt:lpwstr>Standard</vt:lpwstr>
  </property>
  <property fmtid="{D5CDD505-2E9C-101B-9397-08002B2CF9AE}" pid="7" name="MSIP_Label_9043f10a-881e-4653-a55e-02ca2cc829dc_Name">
    <vt:lpwstr>ADC_class_200</vt:lpwstr>
  </property>
  <property fmtid="{D5CDD505-2E9C-101B-9397-08002B2CF9AE}" pid="8" name="MSIP_Label_9043f10a-881e-4653-a55e-02ca2cc829dc_SiteId">
    <vt:lpwstr>94cfddbc-0627-494a-ad7a-29aea3aea832</vt:lpwstr>
  </property>
  <property fmtid="{D5CDD505-2E9C-101B-9397-08002B2CF9AE}" pid="9" name="MSIP_Label_9043f10a-881e-4653-a55e-02ca2cc829dc_ActionId">
    <vt:lpwstr>a66420fb-3855-4490-bd8a-dabfe7d0309a</vt:lpwstr>
  </property>
  <property fmtid="{D5CDD505-2E9C-101B-9397-08002B2CF9AE}" pid="10" name="MSIP_Label_9043f10a-881e-4653-a55e-02ca2cc829dc_ContentBits">
    <vt:lpwstr>0</vt:lpwstr>
  </property>
</Properties>
</file>